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cs="仿宋_GB2312"/>
          <w:b/>
          <w:bCs/>
          <w:sz w:val="32"/>
        </w:rPr>
      </w:pPr>
      <w:r>
        <w:rPr>
          <w:rFonts w:hint="eastAsia" w:ascii="仿宋_GB2312" w:hAnsi="仿宋_GB2312" w:cs="仿宋_GB2312"/>
          <w:b/>
          <w:bCs/>
          <w:sz w:val="32"/>
        </w:rPr>
        <w:t>附件1</w:t>
      </w:r>
    </w:p>
    <w:p>
      <w:pPr>
        <w:widowControl/>
        <w:spacing w:before="100" w:beforeAutospacing="1" w:after="100" w:afterAutospacing="1" w:line="500" w:lineRule="exact"/>
        <w:jc w:val="center"/>
        <w:rPr>
          <w:rFonts w:hint="eastAsia" w:ascii="华文中宋" w:hAnsi="华文中宋" w:eastAsia="华文中宋" w:cs="华文中宋"/>
          <w:b/>
          <w:color w:val="000000"/>
          <w:kern w:val="0"/>
          <w:sz w:val="44"/>
          <w:szCs w:val="44"/>
        </w:rPr>
      </w:pPr>
      <w:bookmarkStart w:id="0" w:name="OLE_LINK16"/>
      <w:bookmarkStart w:id="1" w:name="OLE_LINK17"/>
      <w:r>
        <w:rPr>
          <w:rFonts w:hint="eastAsia" w:ascii="华文中宋" w:hAnsi="华文中宋" w:eastAsia="华文中宋" w:cs="华文中宋"/>
          <w:b/>
          <w:color w:val="000000"/>
          <w:kern w:val="0"/>
          <w:sz w:val="44"/>
          <w:szCs w:val="44"/>
        </w:rPr>
        <w:t>长宁区201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44"/>
          <w:szCs w:val="44"/>
          <w:lang w:val="en-US" w:eastAsia="zh-CN"/>
        </w:rPr>
        <w:t>7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44"/>
          <w:szCs w:val="44"/>
        </w:rPr>
        <w:t>年信息消费专项资金</w:t>
      </w:r>
    </w:p>
    <w:bookmarkEnd w:id="0"/>
    <w:bookmarkEnd w:id="1"/>
    <w:p>
      <w:pPr>
        <w:widowControl/>
        <w:spacing w:before="100" w:beforeAutospacing="1" w:after="100" w:afterAutospacing="1" w:line="500" w:lineRule="exact"/>
        <w:jc w:val="center"/>
        <w:rPr>
          <w:rFonts w:hint="eastAsia" w:ascii="华文中宋" w:hAnsi="华文中宋" w:eastAsia="华文中宋" w:cs="华文中宋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44"/>
          <w:szCs w:val="44"/>
        </w:rPr>
        <w:t>项目申报指南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依据中共上海市委、上海市人民政府《关于加快建设具有全球影响力的科技创新中心的意见》、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《长宁区贯彻〈中共上海市委、市人民政府关于加快建设具有全球影响力的科技创新中心的意见〉的实施意见》（长委发〔2015〕6号）、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关于印发《长宁区信息消费项目扶持政策实施细则》的通知（</w:t>
      </w:r>
      <w:r>
        <w:rPr>
          <w:rFonts w:hint="eastAsia" w:ascii="仿宋_GB2312" w:hAnsi="宋体" w:eastAsia="仿宋_GB2312"/>
          <w:color w:val="000000"/>
          <w:sz w:val="32"/>
          <w:u w:val="none" w:color="FF0000"/>
        </w:rPr>
        <w:t>长科委〔2016〕13号）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，制订本指南。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  一、申报要求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（一）项目申报单位应于201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年1月1日前注册成立，工商注册、税务征管关系在本区，具有独立主体资格的法人或机构，无不良信用记录。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（二）项目申报单位法人治理结构规范、财务管理制度健全、运营管理体系规范、具有承担项目建设的相应能力。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（三）申报项目属于本指南范围，申报单位须为实际投资主体，实施周期为201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年-201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（四）同一项目或类似项目已获得政府财政资金支持的，或曾申报过政府财政资金扶持、未获批准的项目，不再受理申报。对违规申报的，一经发现，取消三年内资金项目申报资格。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（五）对于201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年1月1日以来，获得过风险投资的项目，予以优先支持。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bookmarkStart w:id="2" w:name="_GoBack"/>
      <w:bookmarkEnd w:id="2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（六）同一单位只能申报一个项目。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  二、申报范围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重点支持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服务信息消费体验和消费环境品质提升的人工智能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应用</w:t>
      </w:r>
      <w:r>
        <w:rPr>
          <w:rFonts w:hint="eastAsia" w:ascii="楷体" w:hAnsi="楷体" w:eastAsia="楷体" w:cs="楷体"/>
          <w:bCs/>
          <w:sz w:val="32"/>
          <w:szCs w:val="32"/>
        </w:rPr>
        <w:t>领域、技术领域和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配套服务</w:t>
      </w:r>
      <w:r>
        <w:rPr>
          <w:rFonts w:hint="eastAsia" w:ascii="楷体" w:hAnsi="楷体" w:eastAsia="楷体" w:cs="楷体"/>
          <w:bCs/>
          <w:sz w:val="32"/>
          <w:szCs w:val="32"/>
        </w:rPr>
        <w:t>领域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的</w:t>
      </w:r>
      <w:r>
        <w:rPr>
          <w:rFonts w:hint="eastAsia" w:ascii="楷体" w:hAnsi="楷体" w:eastAsia="楷体" w:cs="楷体"/>
          <w:bCs/>
          <w:sz w:val="32"/>
          <w:szCs w:val="32"/>
        </w:rPr>
        <w:t>创新项目建设，具体包括：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激发信息消费需求潜力，支持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人工智能应用领域</w:t>
      </w:r>
      <w:r>
        <w:rPr>
          <w:rFonts w:hint="eastAsia" w:ascii="仿宋" w:hAnsi="仿宋" w:eastAsia="仿宋" w:cs="仿宋"/>
          <w:b/>
          <w:sz w:val="32"/>
          <w:szCs w:val="32"/>
        </w:rPr>
        <w:t>的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各类</w:t>
      </w:r>
      <w:r>
        <w:rPr>
          <w:rFonts w:hint="eastAsia" w:ascii="仿宋" w:hAnsi="仿宋" w:eastAsia="仿宋" w:cs="仿宋"/>
          <w:b/>
          <w:sz w:val="32"/>
          <w:szCs w:val="32"/>
        </w:rPr>
        <w:t>创新项目,其中: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2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智能贸易类：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运用神经网络、深度学习、机器视觉、生物支付等人工智能技术，实现商业、贸易便利化，创新居民消费体验，提升消费品质类项目；运用智能系统改善生产、管理流程，提升企业营运效能类项目等。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2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智能交通类：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传感器、车联网、高精度地图、模拟器等无人驾驶技术应用类项目；智慧公路（水路、空路）网络和交通标志类项目；自动物流车辆和物流机器人项目；智能物流规划类项目；智能站点（港口/航站）等。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2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智能服务类：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智能家居、老幼陪伴、生活服务等家用机器人和服务机器人类项目；智慧课堂、学习机器人等人工智能辅助教育类项目；机器翻译、机器仿生、智能客服等。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2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智能医疗类：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医学影像智能判读、辅助诊断、病理理解和检索、手术机器人、康复智能设备、智能制药等。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2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互联网和移动互联网基础应用类：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包括搜索引擎、内容推荐引擎、精准营销、语音和自然语言交互、图像和视频内容理解检索、用户画像、反欺诈等。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（二）增强信息消费供给能力，支持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人工智能</w:t>
      </w:r>
      <w:r>
        <w:rPr>
          <w:rFonts w:hint="eastAsia" w:ascii="仿宋" w:hAnsi="仿宋" w:eastAsia="仿宋" w:cs="仿宋"/>
          <w:b/>
          <w:sz w:val="32"/>
          <w:szCs w:val="32"/>
        </w:rPr>
        <w:t>技术领域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的研发</w:t>
      </w:r>
      <w:r>
        <w:rPr>
          <w:rFonts w:hint="eastAsia" w:ascii="仿宋" w:hAnsi="仿宋" w:eastAsia="仿宋" w:cs="仿宋"/>
          <w:b/>
          <w:sz w:val="32"/>
          <w:szCs w:val="32"/>
        </w:rPr>
        <w:t>创新项目，其中：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交互领域类：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包括语言识别、字符识别、手写识别、机器视觉、自然语言处理、知识推理、自动控制、人机对弈、数据挖掘、物联网等领域的突破性技术项目。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架构领域类：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包括加速芯片、虚拟化、分布式结构、库和计算框架、可视化解决方案、云服务等领域的成熟项目。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算法领域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：包括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机器学习方法、算法模型、神经网络等基础研究成果类项目。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（三）增强信息消费服务能力，支持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人工智能配套服务</w:t>
      </w:r>
      <w:r>
        <w:rPr>
          <w:rFonts w:hint="eastAsia" w:ascii="仿宋" w:hAnsi="仿宋" w:eastAsia="仿宋" w:cs="仿宋"/>
          <w:b/>
          <w:sz w:val="32"/>
          <w:szCs w:val="32"/>
        </w:rPr>
        <w:t>领域的相关创新项目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，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包括应用大数据、云计算、物联网等信息技术加强城市运行管理、提升城市生命线智能化水平的应用示范项目；信息消费综合评估项目，信用信息应用相关项目；智慧社区建设，围绕社区居民生活服务便利化和办理事务高效化等项目。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  三、资助方式和标准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对立项项目，根据项目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审计验收情况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，给予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立项后补贴扶持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扶持金额为审计核准的项目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总投资30%、总额不超过150 万元。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四、申报材料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项目申报采取线下受理方式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企业须在规定时间节点内提交如下书面申请材料：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1、《项目申请表》及附件清单。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2、企业营业执照、税务登记证（复印件加盖公章）。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3、近三年（201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年、201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年、201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年上半年）有效的企业年度审计报告、相关财务报表（包括资产负债表、利润表、现金流量表、所有者权益变动表）（复印件上须加盖公章）。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4、项目知识产权、产品生产许可文件等。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5、项目银行贷款承诺书、自有资金证明（原件），项目实施过程中实际发生费用的凭证材料。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6、证明项目具有先进性、创新型的查新报告，提交材料真实性和项目未重复申报承诺书。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7、提供企业法人及法人代表的信用报告。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8、其他有关材料。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申报应提交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正式</w:t>
      </w:r>
      <w:r>
        <w:rPr>
          <w:rFonts w:hint="eastAsia" w:ascii="仿宋" w:hAnsi="仿宋" w:eastAsia="仿宋" w:cs="仿宋"/>
          <w:sz w:val="32"/>
          <w:szCs w:val="32"/>
        </w:rPr>
        <w:t>书面申请材料一份，所有书面材料需用A4纸双面印刷，采用胶装方式于左侧装订成册。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96843"/>
    <w:multiLevelType w:val="singleLevel"/>
    <w:tmpl w:val="59896843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712AD"/>
    <w:rsid w:val="6A2139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guoyl</dc:creator>
  <cp:lastModifiedBy>guoyl</cp:lastModifiedBy>
  <dcterms:modified xsi:type="dcterms:W3CDTF">2017-08-21T01:16:04Z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